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92" w:rsidRDefault="008D6692" w:rsidP="008D6692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Постановление Правительства Республики Казахстан от 15.12.2009 № 2136</w:t>
      </w:r>
    </w:p>
    <w:p w:rsidR="008D6692" w:rsidRDefault="008D6692" w:rsidP="008D6692">
      <w:pPr>
        <w:pStyle w:val="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перечня гарантированного объема бесплатной медицинской помощи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</w:rPr>
        <w:t>(</w:t>
      </w:r>
      <w:hyperlink r:id="rId4" w:anchor="/document/93/8474/" w:history="1">
        <w:r>
          <w:rPr>
            <w:rStyle w:val="a5"/>
            <w:rFonts w:ascii="PT Serif" w:hAnsi="PT Serif"/>
          </w:rPr>
          <w:t>с изменениями и дополнениями от 27.01.2014 г.</w:t>
        </w:r>
      </w:hyperlink>
      <w:r>
        <w:rPr>
          <w:rFonts w:ascii="PT Serif" w:hAnsi="PT Serif"/>
        </w:rPr>
        <w:t>)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Style w:val="fill"/>
          <w:rFonts w:ascii="PT Serif" w:hAnsi="PT Serif"/>
          <w:i/>
          <w:iCs/>
        </w:rPr>
        <w:t xml:space="preserve">См. о внесении изменений </w:t>
      </w:r>
      <w:hyperlink r:id="rId5" w:anchor="/document/93/10468/" w:history="1">
        <w:r>
          <w:rPr>
            <w:rStyle w:val="a5"/>
            <w:rFonts w:ascii="PT Serif" w:hAnsi="PT Serif"/>
            <w:i/>
            <w:iCs/>
          </w:rPr>
          <w:t>постановление</w:t>
        </w:r>
      </w:hyperlink>
      <w:r>
        <w:rPr>
          <w:rStyle w:val="fill"/>
          <w:rFonts w:ascii="PT Serif" w:hAnsi="PT Serif"/>
          <w:i/>
          <w:iCs/>
        </w:rPr>
        <w:t xml:space="preserve"> Правительства РК от 20 июня 2019 года № 420 (вводится в действие </w:t>
      </w:r>
      <w:proofErr w:type="spellStart"/>
      <w:r>
        <w:rPr>
          <w:rStyle w:val="fill"/>
          <w:rFonts w:ascii="PT Serif" w:hAnsi="PT Serif"/>
          <w:i/>
          <w:iCs/>
        </w:rPr>
        <w:t>c</w:t>
      </w:r>
      <w:proofErr w:type="spellEnd"/>
      <w:r>
        <w:rPr>
          <w:rStyle w:val="fill"/>
          <w:rFonts w:ascii="PT Serif" w:hAnsi="PT Serif"/>
          <w:i/>
          <w:iCs/>
        </w:rPr>
        <w:t xml:space="preserve"> 1 января 2020 года)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В соответствии с подпунктом 7) статьи 6 и пунктом 1 статьи 34 Кодекса Республики Казахстан от 18 сентября 2009 года "О здоровье народа и системе здравоохранения" Правительство Республики Казахстан постановляет: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1. Утвердить прилагаемый перечень гарантированного объема бесплатной медицинской помощи.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2. Министерству здравоохранения Республики Казахстан, </w:t>
      </w:r>
      <w:proofErr w:type="spellStart"/>
      <w:r>
        <w:rPr>
          <w:rFonts w:ascii="PT Serif" w:hAnsi="PT Serif"/>
        </w:rPr>
        <w:t>акимам</w:t>
      </w:r>
      <w:proofErr w:type="spellEnd"/>
      <w:r>
        <w:rPr>
          <w:rFonts w:ascii="PT Serif" w:hAnsi="PT Serif"/>
        </w:rPr>
        <w:t xml:space="preserve"> областей, городов Астаны и </w:t>
      </w:r>
      <w:proofErr w:type="spellStart"/>
      <w:r>
        <w:rPr>
          <w:rFonts w:ascii="PT Serif" w:hAnsi="PT Serif"/>
        </w:rPr>
        <w:t>Алматы</w:t>
      </w:r>
      <w:proofErr w:type="spellEnd"/>
      <w:r>
        <w:rPr>
          <w:rFonts w:ascii="PT Serif" w:hAnsi="PT Serif"/>
        </w:rPr>
        <w:t xml:space="preserve"> принять необходимые меры, вытекающие из настоящего постановления.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3. Признать утратившим силу постановление Правительства Республики Казахстан от 28 сентября 2007 года № 853 "Об утверждении Перечня гарантированного объема бесплатной медицинской помощи на 2008-2009 годы" (САПП Республики Казахстан, 2007 г., № 35, ст. 397).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4. Настоящее постановление вводится в действие с 1 января 2010 года и подлежит официальному опубликованию.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  <w:b/>
          <w:bCs/>
        </w:rPr>
        <w:t>Премьер-Министр</w:t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>Республики Казахстан</w:t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 xml:space="preserve">К. </w:t>
      </w:r>
      <w:proofErr w:type="spellStart"/>
      <w:r>
        <w:rPr>
          <w:rFonts w:ascii="PT Serif" w:hAnsi="PT Serif"/>
          <w:b/>
          <w:bCs/>
        </w:rPr>
        <w:t>Масимов</w:t>
      </w:r>
      <w:proofErr w:type="spellEnd"/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Style w:val="fill"/>
          <w:rFonts w:ascii="PT Serif" w:hAnsi="PT Serif"/>
          <w:i/>
          <w:iCs/>
        </w:rPr>
        <w:t>Перечень изложен в редакции постановления Правительства РК от 27.01.14 г. № 29</w:t>
      </w:r>
    </w:p>
    <w:p w:rsidR="008D6692" w:rsidRDefault="008D6692" w:rsidP="008D6692">
      <w:pPr>
        <w:pStyle w:val="align-right"/>
        <w:rPr>
          <w:rFonts w:ascii="PT Serif" w:hAnsi="PT Serif"/>
        </w:rPr>
      </w:pPr>
      <w:r>
        <w:rPr>
          <w:rFonts w:ascii="PT Serif" w:hAnsi="PT Serif"/>
        </w:rPr>
        <w:t>Приложение</w:t>
      </w:r>
      <w:r>
        <w:rPr>
          <w:rFonts w:ascii="PT Serif" w:hAnsi="PT Serif"/>
        </w:rPr>
        <w:br/>
        <w:t>к постановлению Правительства</w:t>
      </w:r>
      <w:r>
        <w:rPr>
          <w:rFonts w:ascii="PT Serif" w:hAnsi="PT Serif"/>
        </w:rPr>
        <w:br/>
        <w:t>Республики Казахстан</w:t>
      </w:r>
      <w:r>
        <w:rPr>
          <w:rFonts w:ascii="PT Serif" w:hAnsi="PT Serif"/>
        </w:rPr>
        <w:br/>
        <w:t>от 15 декабря 2009 года № 2136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Перечень</w:t>
      </w:r>
      <w:r>
        <w:rPr>
          <w:rFonts w:ascii="PT Serif" w:hAnsi="PT Serif"/>
          <w:b/>
          <w:bCs/>
        </w:rPr>
        <w:br/>
        <w:t>гарантированного объема бесплатной медицинской помощи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1. Общие положения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1. Гарантированный объем бесплатной медицинской помощи (далее – ГОБМП) предоставляется гражданам Республики Казахстан и </w:t>
      </w:r>
      <w:proofErr w:type="spellStart"/>
      <w:r>
        <w:rPr>
          <w:rFonts w:ascii="PT Serif" w:hAnsi="PT Serif"/>
        </w:rPr>
        <w:t>оралманам</w:t>
      </w:r>
      <w:proofErr w:type="spellEnd"/>
      <w:r>
        <w:rPr>
          <w:rFonts w:ascii="PT Serif" w:hAnsi="PT Serif"/>
        </w:rPr>
        <w:t xml:space="preserve">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2. В ГОБМП включается: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скорая медицинская помощь и санитарная авиация;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2) амбулаторно-поликлиническая помощь, включающая: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первичную медико-санитарную помощь (далее – ПМСП);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4) </w:t>
      </w:r>
      <w:proofErr w:type="spellStart"/>
      <w:r>
        <w:rPr>
          <w:rFonts w:ascii="PT Serif" w:hAnsi="PT Serif"/>
        </w:rPr>
        <w:t>стационарозамещающая</w:t>
      </w:r>
      <w:proofErr w:type="spellEnd"/>
      <w:r>
        <w:rPr>
          <w:rFonts w:ascii="PT Serif" w:hAnsi="PT Serif"/>
        </w:rPr>
        <w:t xml:space="preserve"> медицинская помощь по направлению специалиста ПМСП или профильных специалистов;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5) восстановительное лечение и медицинская реабилитация;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6) паллиативная помощь и сестринский уход для категорий населения, установленных Правительством Республики Казахстан.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2. Перечень ГОБМП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3. Скорая медицинская помощь в рамках ГОБМП включает: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оказание медицинской помощи по экстренным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2) доставку пациентов в медицинские организации по экстренным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4. Санитарная авиация в рамках ГОБМП включает: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2) доставку квалифицированных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5. Амбулаторно-поликлиническая помощь в рамках ГОБМП включает в себя ПМСП, КДП и предоставляется в объеме согласно приложению к настоящему перечню ГОБМП.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6. Медицинская помощь с использованием высокоспециализированных и новых </w:t>
      </w:r>
      <w:proofErr w:type="gramStart"/>
      <w:r>
        <w:rPr>
          <w:rFonts w:ascii="PT Serif" w:hAnsi="PT Serif"/>
        </w:rPr>
        <w:t>технологий</w:t>
      </w:r>
      <w:proofErr w:type="gramEnd"/>
      <w:r>
        <w:rPr>
          <w:rFonts w:ascii="PT Serif" w:hAnsi="PT Serif"/>
        </w:rPr>
        <w:t xml:space="preserve">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8. ГОБМП, </w:t>
      </w:r>
      <w:proofErr w:type="gramStart"/>
      <w:r>
        <w:rPr>
          <w:rFonts w:ascii="PT Serif" w:hAnsi="PT Serif"/>
        </w:rPr>
        <w:t>оказываемый</w:t>
      </w:r>
      <w:proofErr w:type="gramEnd"/>
      <w:r>
        <w:rPr>
          <w:rFonts w:ascii="PT Serif" w:hAnsi="PT Serif"/>
        </w:rPr>
        <w:t xml:space="preserve"> в форме стационарной помощи, согласно видам и объемам, утверждаемым уполномоченным органом, включает: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1) осмотры, консультации специалистов, в том числе с использованием </w:t>
      </w:r>
      <w:proofErr w:type="spellStart"/>
      <w:r>
        <w:rPr>
          <w:rFonts w:ascii="PT Serif" w:hAnsi="PT Serif"/>
        </w:rPr>
        <w:t>телемедицинских</w:t>
      </w:r>
      <w:proofErr w:type="spellEnd"/>
      <w:r>
        <w:rPr>
          <w:rFonts w:ascii="PT Serif" w:hAnsi="PT Serif"/>
        </w:rPr>
        <w:t xml:space="preserve"> коммуникаций;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2) лабораторные и инструментальные исследования в соответствии со стандартами в области здравоохранения;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3) медицинские услуги (за исключением </w:t>
      </w:r>
      <w:proofErr w:type="gramStart"/>
      <w:r>
        <w:rPr>
          <w:rFonts w:ascii="PT Serif" w:hAnsi="PT Serif"/>
        </w:rPr>
        <w:t>платных</w:t>
      </w:r>
      <w:proofErr w:type="gramEnd"/>
      <w:r>
        <w:rPr>
          <w:rFonts w:ascii="PT Serif" w:hAnsi="PT Serif"/>
        </w:rPr>
        <w:t>), лекарственное обеспечение в соответствии с лекарственными формулярами по медицинским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4) обеспечение препаратами крови и ее компонентов по медицинским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</w:t>
      </w:r>
      <w:proofErr w:type="gramStart"/>
      <w:r>
        <w:rPr>
          <w:rFonts w:ascii="PT Serif" w:hAnsi="PT Serif"/>
        </w:rPr>
        <w:t>тяжело больных</w:t>
      </w:r>
      <w:proofErr w:type="gramEnd"/>
      <w:r>
        <w:rPr>
          <w:rFonts w:ascii="PT Serif" w:hAnsi="PT Serif"/>
        </w:rPr>
        <w:t xml:space="preserve"> детей старшего возраста, нуждающихся по заключению врачей в дополнительном уходе, с выдачей листа о временной нетрудоспособности;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8) создание необходимых условий для игр, отдыха и проведения воспитательной работы в детских стационарных медицинских организациях;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9) паллиативную помощь и сестринский уход для категорий населения, установленных Правительством Республики Казахстан.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9. </w:t>
      </w:r>
      <w:proofErr w:type="spellStart"/>
      <w:r>
        <w:rPr>
          <w:rFonts w:ascii="PT Serif" w:hAnsi="PT Serif"/>
        </w:rPr>
        <w:t>Стационарозамещающая</w:t>
      </w:r>
      <w:proofErr w:type="spellEnd"/>
      <w:r>
        <w:rPr>
          <w:rFonts w:ascii="PT Serif" w:hAnsi="PT Serif"/>
        </w:rPr>
        <w:t xml:space="preserve"> медицинская помощь в рамках ГОБМП включает: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осмотры, консультации специалистов;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3) раннюю и продолженную медицинскую реабилитацию для всех категорий граждан по показаниям, включая </w:t>
      </w:r>
      <w:proofErr w:type="spellStart"/>
      <w:r>
        <w:rPr>
          <w:rFonts w:ascii="PT Serif" w:hAnsi="PT Serif"/>
        </w:rPr>
        <w:t>физиопроцедуры</w:t>
      </w:r>
      <w:proofErr w:type="spellEnd"/>
      <w:r>
        <w:rPr>
          <w:rFonts w:ascii="PT Serif" w:hAnsi="PT Serif"/>
        </w:rPr>
        <w:t xml:space="preserve"> и лечебную физкультуру, согласно стандартам.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10. Услуги патологоанатомического бюро (отделений) в рамках ГОБМП включают: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патологоанатомические вскрытия;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2) гистологические исследования операционного и </w:t>
      </w:r>
      <w:proofErr w:type="spellStart"/>
      <w:r>
        <w:rPr>
          <w:rFonts w:ascii="PT Serif" w:hAnsi="PT Serif"/>
        </w:rPr>
        <w:t>биопсийного</w:t>
      </w:r>
      <w:proofErr w:type="spellEnd"/>
      <w:r>
        <w:rPr>
          <w:rFonts w:ascii="PT Serif" w:hAnsi="PT Serif"/>
        </w:rPr>
        <w:t xml:space="preserve"> материала;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3) цитологические исследования.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1) скорой /неотложной/ экстренной медицинской помощи;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2) антирабической помощи по эпидемиологическим показаниям при опасности заражения;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3) санитарно-профилактической и санитарно-противоэпидемической помощи по показаниям;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>4) иммунопрофилактике/вакцинации;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5) стационарной и </w:t>
      </w:r>
      <w:proofErr w:type="spellStart"/>
      <w:r>
        <w:rPr>
          <w:rFonts w:ascii="PT Serif" w:hAnsi="PT Serif"/>
        </w:rPr>
        <w:t>стационарозамещающей</w:t>
      </w:r>
      <w:proofErr w:type="spellEnd"/>
      <w:r>
        <w:rPr>
          <w:rFonts w:ascii="PT Serif" w:hAnsi="PT Serif"/>
        </w:rPr>
        <w:t xml:space="preserve"> помощи.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</w:t>
      </w:r>
      <w:r>
        <w:rPr>
          <w:rFonts w:ascii="PT Serif" w:hAnsi="PT Serif"/>
        </w:rPr>
        <w:lastRenderedPageBreak/>
        <w:t>заболеваниями (состояниями) и специализированными лечебными продуктами по показаниям и рецепту специалиста ПМСП.</w:t>
      </w:r>
    </w:p>
    <w:p w:rsidR="008D6692" w:rsidRDefault="008D6692" w:rsidP="008D6692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14. Медицинская помощь в рамках ГОБМП включает также лечебно-диагностические услуги с использованием </w:t>
      </w:r>
      <w:proofErr w:type="spellStart"/>
      <w:r>
        <w:rPr>
          <w:rFonts w:ascii="PT Serif" w:hAnsi="PT Serif"/>
        </w:rPr>
        <w:t>малоинвазивных</w:t>
      </w:r>
      <w:proofErr w:type="spellEnd"/>
      <w:r>
        <w:rPr>
          <w:rFonts w:ascii="PT Serif" w:hAnsi="PT Serif"/>
        </w:rPr>
        <w:t xml:space="preserve"> технологий.</w:t>
      </w:r>
    </w:p>
    <w:p w:rsidR="008D6692" w:rsidRDefault="008D6692" w:rsidP="008D6692">
      <w:pPr>
        <w:pStyle w:val="align-right"/>
        <w:rPr>
          <w:rFonts w:ascii="PT Serif" w:hAnsi="PT Serif"/>
        </w:rPr>
      </w:pPr>
      <w:r>
        <w:rPr>
          <w:rFonts w:ascii="PT Serif" w:hAnsi="PT Serif"/>
        </w:rPr>
        <w:t>Приложение</w:t>
      </w:r>
      <w:r>
        <w:rPr>
          <w:rFonts w:ascii="PT Serif" w:hAnsi="PT Serif"/>
        </w:rPr>
        <w:br/>
        <w:t>к перечню гарантированного объема</w:t>
      </w:r>
      <w:r>
        <w:rPr>
          <w:rFonts w:ascii="PT Serif" w:hAnsi="PT Serif"/>
        </w:rPr>
        <w:br/>
        <w:t>бесплатной медицинской помощи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Амбулаторно-поликлиническая помощь</w:t>
      </w:r>
      <w:r>
        <w:rPr>
          <w:rFonts w:ascii="PT Serif" w:hAnsi="PT Serif"/>
          <w:b/>
          <w:bCs/>
        </w:rPr>
        <w:br/>
        <w:t>в рамках гарантированного объема бесплатной медицинской помощи</w:t>
      </w:r>
    </w:p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1. Первичная медико-санитарная помощь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13"/>
        <w:gridCol w:w="4082"/>
        <w:gridCol w:w="3400"/>
      </w:tblGrid>
      <w:tr w:rsidR="008D6692" w:rsidTr="00D84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Кратность оказания услуг</w:t>
            </w:r>
          </w:p>
        </w:tc>
      </w:tr>
      <w:tr w:rsidR="008D6692" w:rsidTr="00D84B67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Прием и консультации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gramStart"/>
            <w: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</w:t>
            </w:r>
            <w:proofErr w:type="spellStart"/>
            <w:r>
              <w:t>ка</w:t>
            </w:r>
            <w:proofErr w:type="spellEnd"/>
            <w:r>
              <w:t>)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Обслуживание на дому специалистами ПМСП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Профилактика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Консультирование по вопросам планирования семьи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Введение/извлечение внутриматочной спирали, инъекции контрацептивные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Профилактические медицинские осмотры (</w:t>
            </w:r>
            <w:proofErr w:type="spellStart"/>
            <w:r>
              <w:t>скрининговые</w:t>
            </w:r>
            <w:proofErr w:type="spellEnd"/>
            <w:r>
              <w:t xml:space="preserve"> исследования) целевых групп населения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С периодичностью в соответствии с порядком, утвержденным уполномоченным органом в области здравоохранения (далее – уполномоченный </w:t>
            </w:r>
            <w:r>
              <w:lastRenderedPageBreak/>
              <w:t>орган)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Санитарно-противоэпидемические (профилактические) мероприятия в очагах инфекционных заболеваний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Проведение иммунизации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Обучение в профилактических кабинетах, школах оздоровления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Консультирование по телефону лиц с хроническими формами заболеваний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обращению и по направлению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Медико-социальные и психологические услуги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Патронаж детей, в том числе новорожденных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Согласно установленной уполномоченным органом периодичности и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Патронаж беременных женщин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Согласно установленной уполномоченным органом периодичности и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Вторичная профилактика заболеваний и их осложнений путем динамического наблюдения больных с хроническими формами заболеваний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периодичностью в соответствии со стандартами, утвержденными уполномоченным органом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Обучение детей санитарно-гигиеническим навыкам по уходу за зубами и слизистой оболочкой </w:t>
            </w:r>
            <w:r>
              <w:lastRenderedPageBreak/>
              <w:t>полости рта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lastRenderedPageBreak/>
              <w:t>1 раз в год с профилактической целью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1 раз в год с профилактической целью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Диагностика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Измерение остроты слуха и зрения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Измерение внутриглазного давления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Общий анализ крови с </w:t>
            </w:r>
            <w:proofErr w:type="spellStart"/>
            <w:r>
              <w:t>лейкоформулой</w:t>
            </w:r>
            <w:proofErr w:type="spellEnd"/>
            <w:r>
              <w:t>, гемоглобин, эритроциты, цветовой показатель, лейкоциты, СОЭ, тромбоциты.</w:t>
            </w:r>
          </w:p>
          <w:p w:rsidR="008D6692" w:rsidRDefault="008D6692" w:rsidP="00D84B67">
            <w:pPr>
              <w:pStyle w:val="a4"/>
            </w:pPr>
            <w:r>
              <w:t>Общий анализ мочи с определением белка и глюкозы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gramStart"/>
            <w:r>
              <w:t>1 раз в год при обращении с профилактический целью, в остальных случаях по показаниям</w:t>
            </w:r>
            <w:proofErr w:type="gramEnd"/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Время свертывания крови, кровь на малярийный плазмодий, моча по Нечипоренко, желчные пигменты в моче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spellStart"/>
            <w:r>
              <w:t>Микрореакция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1 раз в год по обращению,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spellStart"/>
            <w:r>
              <w:t>Копрограмма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1 раз в год с профилактической целью,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Забор мокроты на выявление туберкулеза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Забор материала на микробиологические исследования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Забор крови на ВИЧ инфекцию и реакцию </w:t>
            </w:r>
            <w:proofErr w:type="spellStart"/>
            <w:r>
              <w:t>Вассермана</w:t>
            </w:r>
            <w:proofErr w:type="spellEnd"/>
            <w:r>
              <w:t xml:space="preserve"> (RW)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Забор и биохимические исследования: холестерин, </w:t>
            </w:r>
            <w:proofErr w:type="spellStart"/>
            <w:r>
              <w:t>триглицериды</w:t>
            </w:r>
            <w:proofErr w:type="spellEnd"/>
            <w:r>
              <w:t xml:space="preserve">, глюкоза крови, в том числе проведение </w:t>
            </w:r>
            <w:proofErr w:type="spellStart"/>
            <w:proofErr w:type="gramStart"/>
            <w:r>
              <w:t>экспресс-методов</w:t>
            </w:r>
            <w:proofErr w:type="spellEnd"/>
            <w:proofErr w:type="gramEnd"/>
            <w:r>
              <w:t xml:space="preserve"> с использованием тест-систем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Забор и биохимические исследования: АЛАТ, АСАТ, общий билирубин, мочевина, </w:t>
            </w:r>
            <w:proofErr w:type="spellStart"/>
            <w:r>
              <w:t>креатинин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Забор биологического материала на другие виды исследования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Микроскопия вагинального мазка и санация влагалища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1 раз в год с профилактической целью при обращении,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Иммунохимическое исследование (</w:t>
            </w:r>
            <w:proofErr w:type="spellStart"/>
            <w:r>
              <w:t>гемокульт-тест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экспресс-методом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Анализ крови на малярийный плазмодий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Электрокардиограмма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Постановка пробы Манту с 2 ТЕ ППД-Л детям из группы "риска" (в том числе с целью </w:t>
            </w:r>
            <w:proofErr w:type="spellStart"/>
            <w:r>
              <w:t>довакцинации</w:t>
            </w:r>
            <w:proofErr w:type="spellEnd"/>
            <w:r>
              <w:t xml:space="preserve"> и ревакцинации БЦЖ), и при подозрении на туберкулез у детей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 периодичностью установленной уполномоченным органом,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Флюорография с 15 лет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1 раз в год с профилактической целью, в остальных случаях по </w:t>
            </w:r>
            <w:r>
              <w:lastRenderedPageBreak/>
              <w:t>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lastRenderedPageBreak/>
              <w:t>Лечение, манипуляции и процедуры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Оказание неотложной медицинской помощи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Иммобилизация (наложение марлевых отвердевающих повязок, шин)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Назначение медикаментозного лечения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Проведение внутривенных, внутримышечных, подкожных инъекций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Оказание </w:t>
            </w:r>
            <w:proofErr w:type="spellStart"/>
            <w:r>
              <w:t>стационарозамещающей</w:t>
            </w:r>
            <w:proofErr w:type="spellEnd"/>
            <w:r>
              <w:t xml:space="preserve"> помощи, в том числе на дому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spellStart"/>
            <w:r>
              <w:t>Физиопроцедуры</w:t>
            </w:r>
            <w:proofErr w:type="spellEnd"/>
            <w:r>
              <w:t xml:space="preserve"> детям до 18 лет и массаж детям до 1 года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</w:tbl>
    <w:p w:rsidR="008D6692" w:rsidRDefault="008D6692" w:rsidP="008D6692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2. Консультативно-диагностическая помощь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58"/>
        <w:gridCol w:w="4610"/>
        <w:gridCol w:w="3027"/>
      </w:tblGrid>
      <w:tr w:rsidR="008D6692" w:rsidTr="00D84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Кратность оказания услуг</w:t>
            </w:r>
          </w:p>
        </w:tc>
      </w:tr>
      <w:tr w:rsidR="008D6692" w:rsidTr="00D84B67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Прием и консультации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Прием и консультация профильных специалистов, в том числе с использованием </w:t>
            </w:r>
            <w:proofErr w:type="spellStart"/>
            <w:r>
              <w:t>телемедицинских</w:t>
            </w:r>
            <w:proofErr w:type="spellEnd"/>
            <w:r>
              <w:t xml:space="preserve"> коммуникаций, а также консультации на дому:</w:t>
            </w:r>
          </w:p>
          <w:p w:rsidR="008D6692" w:rsidRDefault="008D6692" w:rsidP="00D84B67">
            <w:pPr>
              <w:pStyle w:val="a4"/>
            </w:pPr>
            <w:r>
              <w:t>по направлению специалиста ПМСП;</w:t>
            </w:r>
          </w:p>
          <w:p w:rsidR="008D6692" w:rsidRDefault="008D6692" w:rsidP="00D84B67">
            <w:pPr>
              <w:pStyle w:val="a4"/>
            </w:pPr>
            <w: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lastRenderedPageBreak/>
              <w:t>Диагностика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Проведение </w:t>
            </w:r>
            <w:proofErr w:type="spellStart"/>
            <w:r>
              <w:t>скрининговых</w:t>
            </w:r>
            <w:proofErr w:type="spellEnd"/>
            <w:r>
              <w:t xml:space="preserve">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В соответствии с установленной уполномоченным органом периодичностью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Лабораторные и инструментальные методы исследования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направлению специалистов ПМСП и профильных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spellStart"/>
            <w:r>
              <w:t>Общеклинические</w:t>
            </w:r>
            <w:proofErr w:type="spellEnd"/>
            <w:r>
              <w:t xml:space="preserve"> анализы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показаниям, направлению специалистов ПМСП и профильных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Исследование крови на ВИЧ инфекцию и реакцию </w:t>
            </w:r>
            <w:proofErr w:type="spellStart"/>
            <w:r>
              <w:t>Вассермана</w:t>
            </w:r>
            <w:proofErr w:type="spellEnd"/>
            <w:r>
              <w:t xml:space="preserve"> (RW)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Гормональное исследование по направлению специалиста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Определение концентрации </w:t>
            </w:r>
            <w:proofErr w:type="spellStart"/>
            <w:r>
              <w:t>иммунносупрессивных</w:t>
            </w:r>
            <w:proofErr w:type="spellEnd"/>
            <w:r>
              <w:t xml:space="preserve"> препаратов в крови пациентам после трансплантации органов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Биохимические анализы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показаниям, направлению специалистов ПМСП и профильных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Микробиологические исследования биологического материала (</w:t>
            </w:r>
            <w:proofErr w:type="spellStart"/>
            <w:r>
              <w:t>бакпосев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УЗИ, рентгенография, </w:t>
            </w:r>
            <w:proofErr w:type="spellStart"/>
            <w:r>
              <w:t>фиброгастродуоденоскопия</w:t>
            </w:r>
            <w:proofErr w:type="spellEnd"/>
            <w:r>
              <w:t xml:space="preserve">, </w:t>
            </w:r>
            <w:proofErr w:type="spellStart"/>
            <w:r>
              <w:t>ректороманоскопия</w:t>
            </w:r>
            <w:proofErr w:type="spellEnd"/>
            <w:r>
              <w:t xml:space="preserve">, дуоденальное зондирование, </w:t>
            </w:r>
            <w:proofErr w:type="spellStart"/>
            <w:r>
              <w:t>колоноскопия</w:t>
            </w:r>
            <w:proofErr w:type="spellEnd"/>
            <w:r>
              <w:t xml:space="preserve">, методы </w:t>
            </w:r>
            <w:r>
              <w:lastRenderedPageBreak/>
              <w:t>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lastRenderedPageBreak/>
              <w:t xml:space="preserve">По показаниям и при обращении пациента с профилактической целью </w:t>
            </w:r>
            <w:r>
              <w:lastRenderedPageBreak/>
              <w:t>не чаще 1 раза в год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lastRenderedPageBreak/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Проведение </w:t>
            </w:r>
            <w:proofErr w:type="spellStart"/>
            <w:r>
              <w:t>скрининговых</w:t>
            </w:r>
            <w:proofErr w:type="spellEnd"/>
            <w:r>
              <w:t xml:space="preserve"> исследований (иммуноферментный анализ, </w:t>
            </w:r>
            <w:proofErr w:type="spellStart"/>
            <w:r>
              <w:t>полимеразная</w:t>
            </w:r>
            <w:proofErr w:type="spellEnd"/>
            <w:r>
              <w:t xml:space="preserve"> цепная реакция) на диагностику вирусных гепатитов "В" и "С":</w:t>
            </w:r>
          </w:p>
          <w:p w:rsidR="008D6692" w:rsidRDefault="008D6692" w:rsidP="00D84B67">
            <w:pPr>
              <w:pStyle w:val="a4"/>
            </w:pPr>
            <w:r>
              <w:t>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</w:p>
          <w:p w:rsidR="008D6692" w:rsidRDefault="008D6692" w:rsidP="00D84B67">
            <w:pPr>
              <w:pStyle w:val="a4"/>
            </w:pPr>
            <w:r>
              <w:t>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"В" и "С"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В соответствии с установленной уполномоченным органом периодичностью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Медицинское освидетельствование на предмет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При направлении правоохранительных органов, органов следствия и дознания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Судебно-наркологическая экспертиза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решению судебных органов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Судебно-психиатрическая экспертиза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решению судебных органов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gramStart"/>
            <w: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"Алтын алқа", "Күміс алқа"; получателям адресной социальной помощи; пенсионерам по возрасту; больным инфекционными, социально-значимыми заболеваниями и заболеваниями, представляющими опасность для окружающих) по </w:t>
            </w:r>
            <w:r>
              <w:lastRenderedPageBreak/>
              <w:t>направлению специалиста: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lastRenderedPageBreak/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1. </w:t>
            </w:r>
            <w:proofErr w:type="spellStart"/>
            <w:r>
              <w:t>Полимеразная</w:t>
            </w:r>
            <w:proofErr w:type="spellEnd"/>
            <w:r>
              <w:t xml:space="preserve"> цепная реакция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2. </w:t>
            </w:r>
            <w:proofErr w:type="spellStart"/>
            <w:r>
              <w:t>Иммунофенотипирование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3. Медико-генетические исследования беременных (ультразвуковой скрининг оценка анатомии плода, </w:t>
            </w:r>
            <w:proofErr w:type="spellStart"/>
            <w:r>
              <w:t>инвазивные</w:t>
            </w:r>
            <w:proofErr w:type="spellEnd"/>
            <w:r>
              <w:t xml:space="preserve"> </w:t>
            </w:r>
            <w:proofErr w:type="spellStart"/>
            <w:r>
              <w:t>пренатальные</w:t>
            </w:r>
            <w:proofErr w:type="spellEnd"/>
            <w:r>
              <w:t xml:space="preserve"> процедуры, биохимический скрининг цитогенетическое исследование) в объеме и сроках, установленных уполномоченным органом в области здравоохранения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4. Компьютерная томография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5. Магниторезонансная томография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6. </w:t>
            </w:r>
            <w:proofErr w:type="spellStart"/>
            <w:r>
              <w:t>Позитронно-эмиссионная</w:t>
            </w:r>
            <w:proofErr w:type="spellEnd"/>
            <w:r>
              <w:t xml:space="preserve"> томография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7. Однофотонная эмиссионная компьютерная томография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8. Ангиография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lign-center"/>
            </w:pPr>
            <w:r>
              <w:rPr>
                <w:b/>
                <w:bCs/>
              </w:rPr>
              <w:t>Лечение, манипуляции и процедуры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показаниям, направлению специалистов ПМСП и профильных специалистов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показаниям, но не более 2 циклов ЭКО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</w:t>
            </w:r>
            <w:proofErr w:type="spellStart"/>
            <w:r>
              <w:t>периостотомия</w:t>
            </w:r>
            <w:proofErr w:type="spellEnd"/>
            <w:r>
              <w:t xml:space="preserve">, </w:t>
            </w:r>
            <w:r>
              <w:lastRenderedPageBreak/>
              <w:t>вскрытие абсцессов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lastRenderedPageBreak/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 xml:space="preserve">Плановая стоматологическая помощь детям и беременным женщинам (кроме </w:t>
            </w:r>
            <w:proofErr w:type="spellStart"/>
            <w:r>
              <w:t>ортодонтической</w:t>
            </w:r>
            <w:proofErr w:type="spellEnd"/>
            <w:r>
              <w:t xml:space="preserve"> и ортопедической) по направлению 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proofErr w:type="spellStart"/>
            <w:r>
              <w:t>Ортодонтическая</w:t>
            </w:r>
            <w:proofErr w:type="spellEnd"/>
            <w:r>
              <w:t xml:space="preserve"> помощь детям с врожденной патологией челюстно-лицевой области с использованием аппарата для устранения зубочелюстных аномалий (</w:t>
            </w:r>
            <w:proofErr w:type="spellStart"/>
            <w:r>
              <w:t>ортодонтическая</w:t>
            </w:r>
            <w:proofErr w:type="spellEnd"/>
            <w:r>
              <w:t xml:space="preserve"> пластинка)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  <w:tr w:rsidR="008D6692" w:rsidTr="00D84B67"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D6692" w:rsidRDefault="008D6692" w:rsidP="00D84B67">
            <w:pPr>
              <w:pStyle w:val="a4"/>
            </w:pPr>
            <w:r>
              <w:t>По показаниям</w:t>
            </w:r>
          </w:p>
        </w:tc>
      </w:tr>
    </w:tbl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  <w:bookmarkStart w:id="0" w:name="_GoBack"/>
      <w:bookmarkEnd w:id="0"/>
    </w:p>
    <w:sectPr w:rsidR="00B30A44" w:rsidSect="00FC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92"/>
    <w:rsid w:val="00006749"/>
    <w:rsid w:val="004C5551"/>
    <w:rsid w:val="0068776C"/>
    <w:rsid w:val="008D6692"/>
    <w:rsid w:val="00B30A44"/>
    <w:rsid w:val="00BC4E3B"/>
    <w:rsid w:val="00F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44"/>
  </w:style>
  <w:style w:type="paragraph" w:styleId="2">
    <w:name w:val="heading 2"/>
    <w:basedOn w:val="a"/>
    <w:link w:val="20"/>
    <w:uiPriority w:val="9"/>
    <w:qFormat/>
    <w:rsid w:val="008D6692"/>
    <w:pPr>
      <w:spacing w:before="100" w:beforeAutospacing="1" w:after="100" w:afterAutospacing="1" w:line="240" w:lineRule="auto"/>
      <w:outlineLvl w:val="1"/>
    </w:pPr>
    <w:rPr>
      <w:rFonts w:eastAsiaTheme="minorEastAsia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6692"/>
    <w:rPr>
      <w:rFonts w:eastAsiaTheme="minorEastAsia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D6692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center">
    <w:name w:val="align-center"/>
    <w:basedOn w:val="a"/>
    <w:rsid w:val="008D6692"/>
    <w:pPr>
      <w:spacing w:after="223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8D6692"/>
    <w:pPr>
      <w:spacing w:after="223" w:line="240" w:lineRule="auto"/>
      <w:jc w:val="right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692"/>
    <w:rPr>
      <w:color w:val="0000FF"/>
      <w:u w:val="single"/>
    </w:rPr>
  </w:style>
  <w:style w:type="character" w:customStyle="1" w:styleId="fill">
    <w:name w:val="fill"/>
    <w:basedOn w:val="a0"/>
    <w:rsid w:val="008D6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med.mcfr.kz/" TargetMode="External"/><Relationship Id="rId4" Type="http://schemas.openxmlformats.org/officeDocument/2006/relationships/hyperlink" Target="https://vip-med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Анатольевич Андреев</dc:creator>
  <cp:lastModifiedBy>Вячеслав Анатольевич Андреев</cp:lastModifiedBy>
  <cp:revision>1</cp:revision>
  <cp:lastPrinted>2013-02-14T04:26:00Z</cp:lastPrinted>
  <dcterms:created xsi:type="dcterms:W3CDTF">2019-08-16T05:04:00Z</dcterms:created>
  <dcterms:modified xsi:type="dcterms:W3CDTF">2019-08-16T05:05:00Z</dcterms:modified>
</cp:coreProperties>
</file>